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FD" w:rsidRPr="000F100B" w:rsidRDefault="00F420FD" w:rsidP="00F420FD">
      <w:pPr>
        <w:pStyle w:val="Heading3"/>
      </w:pPr>
      <w:r w:rsidRPr="00CC4535">
        <w:t>PLANNING MATERIALITY</w:t>
      </w:r>
    </w:p>
    <w:p w:rsidR="00F420FD" w:rsidRPr="000F100B" w:rsidRDefault="00F420FD" w:rsidP="00F420FD">
      <w:pPr>
        <w:rPr>
          <w:rFonts w:ascii="Arial" w:hAnsi="Arial" w:cs="Arial"/>
          <w:b/>
          <w:color w:val="0000FF"/>
          <w:sz w:val="20"/>
          <w:u w:val="single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F420FD" w:rsidRPr="000F100B" w:rsidTr="00241032"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F420FD" w:rsidRPr="000F100B" w:rsidTr="00241032"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420FD" w:rsidRPr="000F100B" w:rsidTr="00241032"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420FD" w:rsidRPr="000F100B" w:rsidTr="00241032"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420FD" w:rsidRPr="000F100B" w:rsidTr="00241032"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420FD" w:rsidRPr="000F100B" w:rsidRDefault="00F420FD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420FD" w:rsidRDefault="00F420FD" w:rsidP="00F420FD">
      <w:pPr>
        <w:pStyle w:val="Heading3"/>
      </w:pPr>
    </w:p>
    <w:tbl>
      <w:tblPr>
        <w:tblW w:w="8640" w:type="dxa"/>
        <w:tblInd w:w="97" w:type="dxa"/>
        <w:tblLook w:val="04A0"/>
      </w:tblPr>
      <w:tblGrid>
        <w:gridCol w:w="1014"/>
        <w:gridCol w:w="1013"/>
        <w:gridCol w:w="1013"/>
        <w:gridCol w:w="1240"/>
        <w:gridCol w:w="1120"/>
        <w:gridCol w:w="1520"/>
        <w:gridCol w:w="1720"/>
      </w:tblGrid>
      <w:tr w:rsidR="00F420FD" w:rsidRPr="00E361B2" w:rsidTr="00241032">
        <w:trPr>
          <w:trHeight w:val="255"/>
        </w:trPr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Basis for overall materiality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0FD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 xml:space="preserve">For example: 1% of gross expenditure is used to calculate overall materiality after transfer payments are deducted in line with SAI policy. Transfer payments are 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deducted when calculating materi</w:t>
            </w: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a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li</w:t>
            </w: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ty as these amounts will be audited separately as part of the receiving entity.</w:t>
            </w:r>
            <w:r w:rsidRPr="00E361B2">
              <w:rPr>
                <w:rFonts w:ascii="Arial" w:hAnsi="Arial" w:cs="Arial"/>
                <w:sz w:val="20"/>
                <w:lang w:eastAsia="en-ZA"/>
              </w:rPr>
              <w:t xml:space="preserve">  </w:t>
            </w: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585"/>
        </w:trPr>
        <w:tc>
          <w:tcPr>
            <w:tcW w:w="8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>Calculation of overall materiality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1275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>Materiality basis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>Guideline 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>% used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>Amounts ($) from financial statements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>Materiality amounts</w:t>
            </w:r>
          </w:p>
        </w:tc>
      </w:tr>
      <w:tr w:rsidR="00F420FD" w:rsidRPr="00E361B2" w:rsidTr="00241032">
        <w:trPr>
          <w:trHeight w:val="255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Gross revenue / receipts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right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0.00</w:t>
            </w:r>
          </w:p>
        </w:tc>
      </w:tr>
      <w:tr w:rsidR="00F420FD" w:rsidRPr="00E361B2" w:rsidTr="00241032">
        <w:trPr>
          <w:trHeight w:val="255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Gross expenditure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right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0.00</w:t>
            </w:r>
          </w:p>
        </w:tc>
      </w:tr>
      <w:tr w:rsidR="00F420FD" w:rsidRPr="00E361B2" w:rsidTr="00241032">
        <w:trPr>
          <w:trHeight w:val="255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Total assets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right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0.00</w:t>
            </w:r>
          </w:p>
        </w:tc>
      </w:tr>
      <w:tr w:rsidR="00F420FD" w:rsidRPr="00E361B2" w:rsidTr="00241032">
        <w:trPr>
          <w:trHeight w:val="255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Equity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3-5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right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0.00</w:t>
            </w:r>
          </w:p>
        </w:tc>
      </w:tr>
      <w:tr w:rsidR="00F420FD" w:rsidRPr="00E361B2" w:rsidTr="00241032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val="en-US" w:eastAsia="en-ZA"/>
              </w:rPr>
              <w:t>Reconciliation to the Lead schedule (where necessary)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 xml:space="preserve">Basis used for materiality </w:t>
            </w: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i.e. Gross expenditure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 xml:space="preserve">Adjustments </w:t>
            </w: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i.e. Less Transfer payments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Amount used to calculate overall materiality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70"/>
        </w:trPr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Qualitative materiality factors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  <w:r w:rsidRPr="00E361B2"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  <w:t>[I.e. non-compliance with  legislative or regulatory requirements, fraud identified or  matters in the public interest]</w:t>
            </w: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</w:p>
        </w:tc>
      </w:tr>
      <w:tr w:rsidR="00F420FD" w:rsidRPr="00E361B2" w:rsidTr="00241032">
        <w:trPr>
          <w:trHeight w:val="255"/>
        </w:trPr>
        <w:tc>
          <w:tcPr>
            <w:tcW w:w="8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0FD" w:rsidRPr="00E361B2" w:rsidRDefault="00F420FD" w:rsidP="00241032">
            <w:pPr>
              <w:rPr>
                <w:rFonts w:ascii="Arial" w:hAnsi="Arial" w:cs="Arial"/>
                <w:i/>
                <w:iCs/>
                <w:color w:val="FF0000"/>
                <w:sz w:val="20"/>
                <w:lang w:eastAsia="en-ZA"/>
              </w:rPr>
            </w:pPr>
          </w:p>
        </w:tc>
      </w:tr>
    </w:tbl>
    <w:p w:rsidR="00F420FD" w:rsidRDefault="00F420FD" w:rsidP="00F420FD">
      <w:pPr>
        <w:rPr>
          <w:rFonts w:ascii="Arial" w:hAnsi="Arial" w:cs="Arial"/>
          <w:sz w:val="20"/>
          <w:szCs w:val="26"/>
        </w:rPr>
      </w:pPr>
      <w:r>
        <w:br w:type="page"/>
      </w: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420FD"/>
    <w:rsid w:val="00624675"/>
    <w:rsid w:val="00F4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F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F420FD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20FD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F4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> 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2004-09-16T16:35:00Z</dcterms:created>
  <dcterms:modified xsi:type="dcterms:W3CDTF">2004-09-16T16:36:00Z</dcterms:modified>
</cp:coreProperties>
</file>